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FB7D" w14:textId="77777777" w:rsidR="00DB37AD" w:rsidRDefault="00B45978" w:rsidP="00105E0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The Native Vegetation Scientific Expert Panel (the Panel) was convened in March 2022 </w:t>
      </w:r>
      <w:r>
        <w:rPr>
          <w:spacing w:val="-2"/>
        </w:rPr>
        <w:t>following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decision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Deputy</w:t>
      </w:r>
      <w:r>
        <w:rPr>
          <w:spacing w:val="-9"/>
        </w:rPr>
        <w:t xml:space="preserve"> </w:t>
      </w:r>
      <w:r>
        <w:rPr>
          <w:spacing w:val="-2"/>
        </w:rPr>
        <w:t>Premier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then</w:t>
      </w:r>
      <w:r>
        <w:rPr>
          <w:spacing w:val="-9"/>
        </w:rPr>
        <w:t xml:space="preserve"> </w:t>
      </w:r>
      <w:r>
        <w:rPr>
          <w:spacing w:val="-2"/>
        </w:rPr>
        <w:t>acting</w:t>
      </w:r>
      <w:r>
        <w:rPr>
          <w:spacing w:val="-12"/>
        </w:rPr>
        <w:t xml:space="preserve"> </w:t>
      </w:r>
      <w:r>
        <w:rPr>
          <w:spacing w:val="-2"/>
        </w:rPr>
        <w:t>Minister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Environment</w:t>
      </w:r>
      <w:r>
        <w:rPr>
          <w:spacing w:val="-8"/>
        </w:rPr>
        <w:t xml:space="preserve"> </w:t>
      </w:r>
      <w:r>
        <w:rPr>
          <w:spacing w:val="-2"/>
        </w:rPr>
        <w:t xml:space="preserve">and </w:t>
      </w:r>
      <w:r>
        <w:t>the</w:t>
      </w:r>
      <w:r>
        <w:rPr>
          <w:spacing w:val="-16"/>
        </w:rPr>
        <w:t xml:space="preserve"> </w:t>
      </w:r>
      <w:r>
        <w:t>Great</w:t>
      </w:r>
      <w:r>
        <w:rPr>
          <w:spacing w:val="-14"/>
        </w:rPr>
        <w:t xml:space="preserve"> </w:t>
      </w:r>
      <w:r>
        <w:t>Barrier</w:t>
      </w:r>
      <w:r>
        <w:rPr>
          <w:spacing w:val="-11"/>
        </w:rPr>
        <w:t xml:space="preserve"> </w:t>
      </w:r>
      <w:r>
        <w:t>Reef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Minister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Youth</w:t>
      </w:r>
      <w:r>
        <w:rPr>
          <w:spacing w:val="-15"/>
        </w:rPr>
        <w:t xml:space="preserve"> </w:t>
      </w:r>
      <w:r>
        <w:t>Affairs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investigate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findings 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2018-19</w:t>
      </w:r>
      <w:r>
        <w:rPr>
          <w:spacing w:val="-6"/>
        </w:rPr>
        <w:t xml:space="preserve"> </w:t>
      </w:r>
      <w:r>
        <w:t>State-wide</w:t>
      </w:r>
      <w:r>
        <w:rPr>
          <w:spacing w:val="-6"/>
        </w:rPr>
        <w:t xml:space="preserve"> </w:t>
      </w:r>
      <w:r>
        <w:t>Landcover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(SLATS)</w:t>
      </w:r>
      <w:r>
        <w:rPr>
          <w:spacing w:val="-6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showed</w:t>
      </w:r>
      <w:r>
        <w:rPr>
          <w:spacing w:val="-7"/>
        </w:rPr>
        <w:t xml:space="preserve"> </w:t>
      </w:r>
      <w:r>
        <w:t xml:space="preserve">that </w:t>
      </w:r>
      <w:r>
        <w:rPr>
          <w:spacing w:val="-4"/>
        </w:rPr>
        <w:t>680,000</w:t>
      </w:r>
      <w:r>
        <w:rPr>
          <w:spacing w:val="-9"/>
        </w:rPr>
        <w:t xml:space="preserve"> </w:t>
      </w:r>
      <w:r>
        <w:rPr>
          <w:spacing w:val="-4"/>
        </w:rPr>
        <w:t>hectares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native</w:t>
      </w:r>
      <w:r>
        <w:rPr>
          <w:spacing w:val="-7"/>
        </w:rPr>
        <w:t xml:space="preserve"> </w:t>
      </w:r>
      <w:r>
        <w:rPr>
          <w:spacing w:val="-4"/>
        </w:rPr>
        <w:t>vegetation</w:t>
      </w:r>
      <w:r>
        <w:rPr>
          <w:spacing w:val="-10"/>
        </w:rPr>
        <w:t xml:space="preserve"> </w:t>
      </w:r>
      <w:r>
        <w:rPr>
          <w:spacing w:val="-4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>impacted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full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partial</w:t>
      </w:r>
      <w:r>
        <w:rPr>
          <w:spacing w:val="-10"/>
        </w:rPr>
        <w:t xml:space="preserve"> </w:t>
      </w:r>
      <w:r>
        <w:rPr>
          <w:spacing w:val="-4"/>
        </w:rPr>
        <w:t>clearing</w:t>
      </w:r>
      <w:r>
        <w:rPr>
          <w:spacing w:val="-10"/>
        </w:rPr>
        <w:t xml:space="preserve"> </w:t>
      </w:r>
      <w:r>
        <w:rPr>
          <w:spacing w:val="-4"/>
        </w:rPr>
        <w:t>activities.</w:t>
      </w:r>
    </w:p>
    <w:p w14:paraId="3E5FCEB2" w14:textId="77777777" w:rsidR="00DB37AD" w:rsidRDefault="00B45978" w:rsidP="00105E0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>The</w:t>
      </w:r>
      <w:r>
        <w:rPr>
          <w:spacing w:val="-16"/>
        </w:rPr>
        <w:t xml:space="preserve"> </w:t>
      </w:r>
      <w:r>
        <w:t>Panel</w:t>
      </w:r>
      <w:r>
        <w:rPr>
          <w:spacing w:val="-15"/>
        </w:rPr>
        <w:t xml:space="preserve"> </w:t>
      </w:r>
      <w:r>
        <w:t>consulted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private</w:t>
      </w:r>
      <w:r>
        <w:rPr>
          <w:spacing w:val="-16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sectors.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 w:rsidR="001549C7">
        <w:rPr>
          <w:spacing w:val="-16"/>
        </w:rPr>
        <w:t xml:space="preserve">Panel’s </w:t>
      </w:r>
      <w:r>
        <w:t>Report</w:t>
      </w:r>
      <w:r>
        <w:rPr>
          <w:spacing w:val="-15"/>
        </w:rPr>
        <w:t xml:space="preserve"> </w:t>
      </w:r>
      <w:r>
        <w:t>details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key contributors</w:t>
      </w:r>
      <w:r>
        <w:rPr>
          <w:spacing w:val="-8"/>
        </w:rPr>
        <w:t xml:space="preserve"> </w:t>
      </w:r>
      <w:r>
        <w:t>behind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native</w:t>
      </w:r>
      <w:r>
        <w:rPr>
          <w:spacing w:val="-8"/>
        </w:rPr>
        <w:t xml:space="preserve"> </w:t>
      </w:r>
      <w:r>
        <w:t>vegetation</w:t>
      </w:r>
      <w:r>
        <w:rPr>
          <w:spacing w:val="-8"/>
        </w:rPr>
        <w:t xml:space="preserve"> </w:t>
      </w:r>
      <w:r>
        <w:t>clearing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2018-19</w:t>
      </w:r>
      <w:r>
        <w:rPr>
          <w:spacing w:val="-7"/>
        </w:rPr>
        <w:t xml:space="preserve"> </w:t>
      </w:r>
      <w:r>
        <w:t>SLATS</w:t>
      </w:r>
      <w:r>
        <w:rPr>
          <w:spacing w:val="-11"/>
        </w:rPr>
        <w:t xml:space="preserve"> </w:t>
      </w:r>
      <w:r>
        <w:t xml:space="preserve">report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proposes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path</w:t>
      </w:r>
      <w:r>
        <w:rPr>
          <w:spacing w:val="-11"/>
        </w:rPr>
        <w:t xml:space="preserve"> </w:t>
      </w:r>
      <w:r>
        <w:rPr>
          <w:spacing w:val="-2"/>
        </w:rPr>
        <w:t>forward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reduce</w:t>
      </w:r>
      <w:r>
        <w:rPr>
          <w:spacing w:val="-9"/>
        </w:rPr>
        <w:t xml:space="preserve"> </w:t>
      </w:r>
      <w:r>
        <w:rPr>
          <w:spacing w:val="-2"/>
        </w:rPr>
        <w:t>clearing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future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better</w:t>
      </w:r>
      <w:r>
        <w:rPr>
          <w:spacing w:val="-10"/>
        </w:rPr>
        <w:t xml:space="preserve"> </w:t>
      </w:r>
      <w:r>
        <w:rPr>
          <w:spacing w:val="-2"/>
        </w:rPr>
        <w:t>aligning</w:t>
      </w:r>
      <w:r>
        <w:rPr>
          <w:spacing w:val="-11"/>
        </w:rPr>
        <w:t xml:space="preserve"> </w:t>
      </w:r>
      <w:r>
        <w:rPr>
          <w:spacing w:val="-2"/>
        </w:rPr>
        <w:t xml:space="preserve">Queensland’s </w:t>
      </w:r>
      <w:r>
        <w:t>Vegetation</w:t>
      </w:r>
      <w:r>
        <w:rPr>
          <w:spacing w:val="-14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framework</w:t>
      </w:r>
      <w:r>
        <w:rPr>
          <w:spacing w:val="-13"/>
        </w:rPr>
        <w:t xml:space="preserve"> </w:t>
      </w:r>
      <w:r>
        <w:t>alongside</w:t>
      </w:r>
      <w:r>
        <w:rPr>
          <w:spacing w:val="-12"/>
        </w:rPr>
        <w:t xml:space="preserve"> </w:t>
      </w:r>
      <w:r>
        <w:t>emerging</w:t>
      </w:r>
      <w:r>
        <w:rPr>
          <w:spacing w:val="-12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a strategic</w:t>
      </w:r>
      <w:r>
        <w:rPr>
          <w:spacing w:val="-12"/>
        </w:rPr>
        <w:t xml:space="preserve"> </w:t>
      </w:r>
      <w:r>
        <w:t>vision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i/>
        </w:rPr>
        <w:t>Engages,</w:t>
      </w:r>
      <w:r>
        <w:rPr>
          <w:i/>
          <w:spacing w:val="-11"/>
        </w:rPr>
        <w:t xml:space="preserve"> </w:t>
      </w:r>
      <w:r>
        <w:rPr>
          <w:i/>
        </w:rPr>
        <w:t>Informs,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Incentivises</w:t>
      </w:r>
      <w:r>
        <w:rPr>
          <w:i/>
          <w:spacing w:val="-12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Rewards</w:t>
      </w:r>
      <w:r>
        <w:rPr>
          <w:i/>
          <w:spacing w:val="-12"/>
        </w:rPr>
        <w:t xml:space="preserve"> </w:t>
      </w:r>
      <w:r>
        <w:t>landholders.</w:t>
      </w:r>
    </w:p>
    <w:p w14:paraId="3DAB8728" w14:textId="77777777" w:rsidR="00DB37AD" w:rsidRDefault="00B45978" w:rsidP="00105E0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4"/>
        </w:rPr>
        <w:t>To achieve</w:t>
      </w:r>
      <w:r>
        <w:rPr>
          <w:spacing w:val="-6"/>
        </w:rPr>
        <w:t xml:space="preserve"> </w:t>
      </w:r>
      <w:r>
        <w:rPr>
          <w:spacing w:val="-4"/>
        </w:rPr>
        <w:t>this,</w:t>
      </w:r>
      <w:r>
        <w:rPr>
          <w:spacing w:val="-5"/>
        </w:rPr>
        <w:t xml:space="preserve"> </w:t>
      </w:r>
      <w:r>
        <w:rPr>
          <w:spacing w:val="-4"/>
        </w:rPr>
        <w:t xml:space="preserve">the </w:t>
      </w:r>
      <w:r w:rsidR="001549C7">
        <w:rPr>
          <w:spacing w:val="-4"/>
        </w:rPr>
        <w:t xml:space="preserve">Panel’s </w:t>
      </w:r>
      <w:r>
        <w:rPr>
          <w:spacing w:val="-4"/>
        </w:rPr>
        <w:t>Report puts</w:t>
      </w:r>
      <w:r>
        <w:rPr>
          <w:spacing w:val="-6"/>
        </w:rPr>
        <w:t xml:space="preserve"> </w:t>
      </w:r>
      <w:r>
        <w:rPr>
          <w:spacing w:val="-4"/>
        </w:rPr>
        <w:t>forward 10 detailed</w:t>
      </w:r>
      <w:r>
        <w:rPr>
          <w:spacing w:val="-6"/>
        </w:rPr>
        <w:t xml:space="preserve"> </w:t>
      </w:r>
      <w:r>
        <w:rPr>
          <w:spacing w:val="-4"/>
        </w:rPr>
        <w:t>recommendations, encompassed by</w:t>
      </w:r>
      <w:r>
        <w:rPr>
          <w:spacing w:val="-6"/>
        </w:rPr>
        <w:t xml:space="preserve"> </w:t>
      </w:r>
      <w:r>
        <w:rPr>
          <w:spacing w:val="-4"/>
        </w:rPr>
        <w:t xml:space="preserve">two </w:t>
      </w:r>
      <w:r>
        <w:t>overarching</w:t>
      </w:r>
      <w:r>
        <w:rPr>
          <w:spacing w:val="-13"/>
        </w:rPr>
        <w:t xml:space="preserve"> </w:t>
      </w:r>
      <w:r>
        <w:t>objectives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stable,</w:t>
      </w:r>
      <w:r>
        <w:rPr>
          <w:spacing w:val="-12"/>
        </w:rPr>
        <w:t xml:space="preserve"> </w:t>
      </w:r>
      <w:r>
        <w:t>ecologically</w:t>
      </w:r>
      <w:r>
        <w:rPr>
          <w:spacing w:val="-14"/>
        </w:rPr>
        <w:t xml:space="preserve"> </w:t>
      </w:r>
      <w:r>
        <w:t>robust</w:t>
      </w:r>
      <w:r>
        <w:rPr>
          <w:spacing w:val="-12"/>
        </w:rPr>
        <w:t xml:space="preserve"> </w:t>
      </w:r>
      <w:r>
        <w:t>regulatory</w:t>
      </w:r>
      <w:r>
        <w:rPr>
          <w:spacing w:val="-14"/>
        </w:rPr>
        <w:t xml:space="preserve"> </w:t>
      </w:r>
      <w:r>
        <w:t>framework</w:t>
      </w:r>
      <w:r>
        <w:rPr>
          <w:spacing w:val="-14"/>
        </w:rPr>
        <w:t xml:space="preserve"> </w:t>
      </w:r>
      <w:r>
        <w:t xml:space="preserve">that </w:t>
      </w:r>
      <w:r>
        <w:rPr>
          <w:spacing w:val="-4"/>
        </w:rPr>
        <w:t>provides</w:t>
      </w:r>
      <w:r>
        <w:rPr>
          <w:spacing w:val="-12"/>
        </w:rPr>
        <w:t xml:space="preserve"> </w:t>
      </w:r>
      <w:r>
        <w:rPr>
          <w:spacing w:val="-4"/>
        </w:rPr>
        <w:t>security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confidence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landholders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general</w:t>
      </w:r>
      <w:r>
        <w:rPr>
          <w:spacing w:val="-11"/>
        </w:rPr>
        <w:t xml:space="preserve"> </w:t>
      </w:r>
      <w:r>
        <w:rPr>
          <w:spacing w:val="-4"/>
        </w:rPr>
        <w:t>public;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implement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 xml:space="preserve">suite </w:t>
      </w:r>
      <w:r>
        <w:t>of</w:t>
      </w:r>
      <w:r>
        <w:rPr>
          <w:spacing w:val="-8"/>
        </w:rPr>
        <w:t xml:space="preserve"> </w:t>
      </w:r>
      <w:r>
        <w:t>educational,</w:t>
      </w:r>
      <w:r>
        <w:rPr>
          <w:spacing w:val="-8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motivational</w:t>
      </w:r>
      <w:r>
        <w:rPr>
          <w:spacing w:val="-11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advance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ecological objectives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years.</w:t>
      </w:r>
    </w:p>
    <w:p w14:paraId="01B523B5" w14:textId="7F0BD054" w:rsidR="00DB37AD" w:rsidRDefault="00B45978" w:rsidP="00105E0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The </w:t>
      </w:r>
      <w:r w:rsidR="001549C7">
        <w:t xml:space="preserve">Queensland Government </w:t>
      </w:r>
      <w:r>
        <w:t xml:space="preserve">Response has been developed to set forth a plan for </w:t>
      </w:r>
      <w:r w:rsidR="001549C7">
        <w:t xml:space="preserve">the </w:t>
      </w:r>
      <w:r>
        <w:t xml:space="preserve">Government to advance the objectives of the </w:t>
      </w:r>
      <w:r w:rsidR="001549C7">
        <w:t xml:space="preserve">Panel’s </w:t>
      </w:r>
      <w:r>
        <w:t>Report</w:t>
      </w:r>
      <w:r w:rsidR="001549C7">
        <w:t>. The Government’s Response</w:t>
      </w:r>
      <w:r>
        <w:t xml:space="preserve"> accepts seven of the 10 recommendations,</w:t>
      </w:r>
      <w:r w:rsidR="00627B83">
        <w:t xml:space="preserve"> </w:t>
      </w:r>
      <w:r>
        <w:t>and accepts-in-</w:t>
      </w:r>
      <w:r>
        <w:rPr>
          <w:spacing w:val="-2"/>
        </w:rPr>
        <w:t>principle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remaining</w:t>
      </w:r>
      <w:r>
        <w:rPr>
          <w:spacing w:val="-5"/>
        </w:rPr>
        <w:t xml:space="preserve"> </w:t>
      </w:r>
      <w:r>
        <w:rPr>
          <w:spacing w:val="-2"/>
        </w:rPr>
        <w:t>three</w:t>
      </w:r>
      <w:r>
        <w:rPr>
          <w:spacing w:val="-6"/>
        </w:rPr>
        <w:t xml:space="preserve"> </w:t>
      </w:r>
      <w:r>
        <w:rPr>
          <w:spacing w:val="-2"/>
        </w:rPr>
        <w:t>recommendations</w:t>
      </w:r>
      <w:r>
        <w:rPr>
          <w:spacing w:val="-6"/>
        </w:rPr>
        <w:t xml:space="preserve"> </w:t>
      </w:r>
      <w:r>
        <w:rPr>
          <w:spacing w:val="-2"/>
        </w:rPr>
        <w:t>due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requiring</w:t>
      </w:r>
      <w:r>
        <w:rPr>
          <w:spacing w:val="-6"/>
        </w:rPr>
        <w:t xml:space="preserve"> </w:t>
      </w:r>
      <w:r>
        <w:rPr>
          <w:spacing w:val="-2"/>
        </w:rPr>
        <w:t>more</w:t>
      </w:r>
      <w:r>
        <w:rPr>
          <w:spacing w:val="-3"/>
        </w:rPr>
        <w:t xml:space="preserve"> </w:t>
      </w:r>
      <w:r>
        <w:rPr>
          <w:spacing w:val="-2"/>
        </w:rPr>
        <w:t>detailed</w:t>
      </w:r>
      <w:r>
        <w:rPr>
          <w:spacing w:val="-3"/>
        </w:rPr>
        <w:t xml:space="preserve"> </w:t>
      </w:r>
      <w:r>
        <w:rPr>
          <w:spacing w:val="-2"/>
        </w:rPr>
        <w:t>planning</w:t>
      </w:r>
      <w:r>
        <w:rPr>
          <w:spacing w:val="-6"/>
        </w:rPr>
        <w:t xml:space="preserve"> </w:t>
      </w:r>
      <w:r>
        <w:rPr>
          <w:spacing w:val="-2"/>
        </w:rPr>
        <w:t xml:space="preserve">and </w:t>
      </w:r>
      <w:r>
        <w:t>analysis if they are to be implemented effectively and in accordance with the Panel’s objectives,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approaches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 xml:space="preserve">more </w:t>
      </w:r>
      <w:r>
        <w:rPr>
          <w:spacing w:val="-2"/>
        </w:rPr>
        <w:t>efficiently.</w:t>
      </w:r>
    </w:p>
    <w:p w14:paraId="12E8B459" w14:textId="77777777" w:rsidR="00DB37AD" w:rsidRDefault="00B45978" w:rsidP="00105E0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u w:val="single"/>
        </w:rPr>
        <w:t>Cabinet approved</w:t>
      </w:r>
      <w:r>
        <w:t xml:space="preserve"> the public release of the Native Vegetation Scientific Expert Panel Report and the Queensland Government’s Response to the Report.</w:t>
      </w:r>
    </w:p>
    <w:p w14:paraId="467BA2BC" w14:textId="77777777" w:rsidR="00DB37AD" w:rsidRDefault="00B45978" w:rsidP="00627B83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2" w:hanging="562"/>
        <w:rPr>
          <w:i/>
        </w:rPr>
      </w:pPr>
      <w:r>
        <w:rPr>
          <w:i/>
          <w:spacing w:val="-2"/>
          <w:u w:val="single"/>
        </w:rPr>
        <w:t>Attachments</w:t>
      </w:r>
      <w:r w:rsidR="001549C7">
        <w:rPr>
          <w:iCs/>
          <w:spacing w:val="-2"/>
        </w:rPr>
        <w:t>:</w:t>
      </w:r>
    </w:p>
    <w:p w14:paraId="101EF33F" w14:textId="2083D828" w:rsidR="00DB37AD" w:rsidRDefault="00515BC4" w:rsidP="00627B83">
      <w:pPr>
        <w:pStyle w:val="ListParagraph"/>
        <w:numPr>
          <w:ilvl w:val="1"/>
          <w:numId w:val="1"/>
        </w:numPr>
        <w:tabs>
          <w:tab w:val="left" w:pos="889"/>
        </w:tabs>
        <w:spacing w:before="120" w:line="280" w:lineRule="exact"/>
        <w:ind w:left="893" w:hanging="331"/>
        <w:jc w:val="left"/>
      </w:pPr>
      <w:hyperlink r:id="rId9" w:history="1">
        <w:r w:rsidR="00B45978" w:rsidRPr="007B5D13">
          <w:rPr>
            <w:rStyle w:val="Hyperlink"/>
          </w:rPr>
          <w:t>Native</w:t>
        </w:r>
        <w:r w:rsidR="00B45978" w:rsidRPr="007B5D13">
          <w:rPr>
            <w:rStyle w:val="Hyperlink"/>
            <w:spacing w:val="-7"/>
          </w:rPr>
          <w:t xml:space="preserve"> </w:t>
        </w:r>
        <w:r w:rsidR="00B45978" w:rsidRPr="007B5D13">
          <w:rPr>
            <w:rStyle w:val="Hyperlink"/>
          </w:rPr>
          <w:t>Vegetation</w:t>
        </w:r>
        <w:r w:rsidR="00B45978" w:rsidRPr="007B5D13">
          <w:rPr>
            <w:rStyle w:val="Hyperlink"/>
            <w:spacing w:val="-6"/>
          </w:rPr>
          <w:t xml:space="preserve"> </w:t>
        </w:r>
        <w:r w:rsidR="00B45978" w:rsidRPr="007B5D13">
          <w:rPr>
            <w:rStyle w:val="Hyperlink"/>
          </w:rPr>
          <w:t>Scientific</w:t>
        </w:r>
        <w:r w:rsidR="00B45978" w:rsidRPr="007B5D13">
          <w:rPr>
            <w:rStyle w:val="Hyperlink"/>
            <w:spacing w:val="-6"/>
          </w:rPr>
          <w:t xml:space="preserve"> </w:t>
        </w:r>
        <w:r w:rsidR="00B45978" w:rsidRPr="007B5D13">
          <w:rPr>
            <w:rStyle w:val="Hyperlink"/>
          </w:rPr>
          <w:t>Expert</w:t>
        </w:r>
        <w:r w:rsidR="00B45978" w:rsidRPr="007B5D13">
          <w:rPr>
            <w:rStyle w:val="Hyperlink"/>
            <w:spacing w:val="-4"/>
          </w:rPr>
          <w:t xml:space="preserve"> </w:t>
        </w:r>
        <w:r w:rsidR="00B45978" w:rsidRPr="007B5D13">
          <w:rPr>
            <w:rStyle w:val="Hyperlink"/>
          </w:rPr>
          <w:t>Panel</w:t>
        </w:r>
        <w:r w:rsidR="00B45978" w:rsidRPr="007B5D13">
          <w:rPr>
            <w:rStyle w:val="Hyperlink"/>
            <w:spacing w:val="-6"/>
          </w:rPr>
          <w:t xml:space="preserve"> </w:t>
        </w:r>
        <w:r w:rsidR="00B45978" w:rsidRPr="007B5D13">
          <w:rPr>
            <w:rStyle w:val="Hyperlink"/>
            <w:spacing w:val="-2"/>
          </w:rPr>
          <w:t>Report</w:t>
        </w:r>
      </w:hyperlink>
    </w:p>
    <w:p w14:paraId="0E666F69" w14:textId="5FB9EF20" w:rsidR="00DB37AD" w:rsidRDefault="00515BC4" w:rsidP="00627B83">
      <w:pPr>
        <w:pStyle w:val="ListParagraph"/>
        <w:numPr>
          <w:ilvl w:val="1"/>
          <w:numId w:val="1"/>
        </w:numPr>
        <w:tabs>
          <w:tab w:val="left" w:pos="889"/>
        </w:tabs>
        <w:spacing w:before="120" w:line="280" w:lineRule="exact"/>
        <w:ind w:left="893" w:hanging="331"/>
        <w:jc w:val="left"/>
      </w:pPr>
      <w:hyperlink r:id="rId10" w:history="1">
        <w:r w:rsidR="00B45978" w:rsidRPr="007B5D13">
          <w:rPr>
            <w:rStyle w:val="Hyperlink"/>
          </w:rPr>
          <w:t>Native</w:t>
        </w:r>
        <w:r w:rsidR="00B45978" w:rsidRPr="007B5D13">
          <w:rPr>
            <w:rStyle w:val="Hyperlink"/>
            <w:spacing w:val="-8"/>
          </w:rPr>
          <w:t xml:space="preserve"> </w:t>
        </w:r>
        <w:r w:rsidR="00B45978" w:rsidRPr="007B5D13">
          <w:rPr>
            <w:rStyle w:val="Hyperlink"/>
          </w:rPr>
          <w:t>Vegetation</w:t>
        </w:r>
        <w:r w:rsidR="00B45978" w:rsidRPr="007B5D13">
          <w:rPr>
            <w:rStyle w:val="Hyperlink"/>
            <w:spacing w:val="-7"/>
          </w:rPr>
          <w:t xml:space="preserve"> </w:t>
        </w:r>
        <w:r w:rsidR="00B45978" w:rsidRPr="007B5D13">
          <w:rPr>
            <w:rStyle w:val="Hyperlink"/>
          </w:rPr>
          <w:t>Scientific</w:t>
        </w:r>
        <w:r w:rsidR="00B45978" w:rsidRPr="007B5D13">
          <w:rPr>
            <w:rStyle w:val="Hyperlink"/>
            <w:spacing w:val="-6"/>
          </w:rPr>
          <w:t xml:space="preserve"> </w:t>
        </w:r>
        <w:r w:rsidR="00B45978" w:rsidRPr="007B5D13">
          <w:rPr>
            <w:rStyle w:val="Hyperlink"/>
          </w:rPr>
          <w:t>Expert</w:t>
        </w:r>
        <w:r w:rsidR="00B45978" w:rsidRPr="007B5D13">
          <w:rPr>
            <w:rStyle w:val="Hyperlink"/>
            <w:spacing w:val="-5"/>
          </w:rPr>
          <w:t xml:space="preserve"> </w:t>
        </w:r>
        <w:r w:rsidR="00B45978" w:rsidRPr="007B5D13">
          <w:rPr>
            <w:rStyle w:val="Hyperlink"/>
          </w:rPr>
          <w:t>Panel</w:t>
        </w:r>
        <w:r w:rsidR="00B45978" w:rsidRPr="007B5D13">
          <w:rPr>
            <w:rStyle w:val="Hyperlink"/>
            <w:spacing w:val="-10"/>
          </w:rPr>
          <w:t xml:space="preserve"> </w:t>
        </w:r>
        <w:r w:rsidR="00B45978" w:rsidRPr="007B5D13">
          <w:rPr>
            <w:rStyle w:val="Hyperlink"/>
          </w:rPr>
          <w:t>Queensland</w:t>
        </w:r>
        <w:r w:rsidR="00B45978" w:rsidRPr="007B5D13">
          <w:rPr>
            <w:rStyle w:val="Hyperlink"/>
            <w:spacing w:val="-7"/>
          </w:rPr>
          <w:t xml:space="preserve"> </w:t>
        </w:r>
        <w:r w:rsidR="00B45978" w:rsidRPr="007B5D13">
          <w:rPr>
            <w:rStyle w:val="Hyperlink"/>
          </w:rPr>
          <w:t>Government</w:t>
        </w:r>
        <w:r w:rsidR="00B45978" w:rsidRPr="007B5D13">
          <w:rPr>
            <w:rStyle w:val="Hyperlink"/>
            <w:spacing w:val="-5"/>
          </w:rPr>
          <w:t xml:space="preserve"> </w:t>
        </w:r>
        <w:r w:rsidR="00B45978" w:rsidRPr="007B5D13">
          <w:rPr>
            <w:rStyle w:val="Hyperlink"/>
            <w:spacing w:val="-2"/>
          </w:rPr>
          <w:t>Response</w:t>
        </w:r>
      </w:hyperlink>
    </w:p>
    <w:sectPr w:rsidR="00DB37AD" w:rsidSect="00114D6C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7613" w14:textId="77777777" w:rsidR="00114D6C" w:rsidRDefault="00114D6C" w:rsidP="00105E07">
      <w:r>
        <w:separator/>
      </w:r>
    </w:p>
  </w:endnote>
  <w:endnote w:type="continuationSeparator" w:id="0">
    <w:p w14:paraId="73E97115" w14:textId="77777777" w:rsidR="00114D6C" w:rsidRDefault="00114D6C" w:rsidP="001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4848" w14:textId="77777777" w:rsidR="00114D6C" w:rsidRDefault="00114D6C" w:rsidP="00105E07">
      <w:r>
        <w:separator/>
      </w:r>
    </w:p>
  </w:footnote>
  <w:footnote w:type="continuationSeparator" w:id="0">
    <w:p w14:paraId="4931C32B" w14:textId="77777777" w:rsidR="00114D6C" w:rsidRDefault="00114D6C" w:rsidP="0010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B8BE" w14:textId="77777777" w:rsidR="00105E07" w:rsidRPr="00937A4A" w:rsidRDefault="00105E07" w:rsidP="00105E0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2F01CEE" w14:textId="77777777" w:rsidR="00105E07" w:rsidRPr="00937A4A" w:rsidRDefault="00105E07" w:rsidP="00105E0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0928A04" w14:textId="08A7B125" w:rsidR="00105E07" w:rsidRPr="00937A4A" w:rsidRDefault="00105E07" w:rsidP="00105E0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September 2023</w:t>
    </w:r>
  </w:p>
  <w:p w14:paraId="30C56DBB" w14:textId="1F13730D" w:rsidR="00105E07" w:rsidRDefault="00105E07" w:rsidP="00105E07">
    <w:pPr>
      <w:pStyle w:val="Header"/>
      <w:spacing w:before="120"/>
      <w:rPr>
        <w:b/>
        <w:u w:val="single"/>
      </w:rPr>
    </w:pPr>
    <w:r w:rsidRPr="00105E07">
      <w:rPr>
        <w:b/>
        <w:u w:val="single"/>
      </w:rPr>
      <w:t>Queensland Government Response to the Native Vegetation Scientific Expert Panel Report</w:t>
    </w:r>
  </w:p>
  <w:p w14:paraId="210F7434" w14:textId="2F40DE49" w:rsidR="00105E07" w:rsidRDefault="00105E07" w:rsidP="00105E07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the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Environment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the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Great Barrier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Reef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Science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and</w:t>
    </w:r>
    <w:r>
      <w:rPr>
        <w:b/>
      </w:rPr>
      <w:t xml:space="preserve"> </w:t>
    </w:r>
    <w:r>
      <w:rPr>
        <w:b/>
        <w:u w:val="single"/>
      </w:rPr>
      <w:t>Minister for Multicultural Affairs</w:t>
    </w:r>
  </w:p>
  <w:p w14:paraId="68E9BD7D" w14:textId="77777777" w:rsidR="00105E07" w:rsidRDefault="00105E07" w:rsidP="00105E0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68B9"/>
    <w:multiLevelType w:val="hybridMultilevel"/>
    <w:tmpl w:val="A3C8AA16"/>
    <w:lvl w:ilvl="0" w:tplc="8D2661D4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6B2CF570">
      <w:numFmt w:val="bullet"/>
      <w:lvlText w:val=""/>
      <w:lvlJc w:val="left"/>
      <w:pPr>
        <w:ind w:left="891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84902C60">
      <w:numFmt w:val="bullet"/>
      <w:lvlText w:val="•"/>
      <w:lvlJc w:val="left"/>
      <w:pPr>
        <w:ind w:left="1869" w:hanging="209"/>
      </w:pPr>
      <w:rPr>
        <w:rFonts w:hint="default"/>
        <w:lang w:val="en-US" w:eastAsia="en-US" w:bidi="ar-SA"/>
      </w:rPr>
    </w:lvl>
    <w:lvl w:ilvl="3" w:tplc="CC80CBC2">
      <w:numFmt w:val="bullet"/>
      <w:lvlText w:val="•"/>
      <w:lvlJc w:val="left"/>
      <w:pPr>
        <w:ind w:left="2839" w:hanging="209"/>
      </w:pPr>
      <w:rPr>
        <w:rFonts w:hint="default"/>
        <w:lang w:val="en-US" w:eastAsia="en-US" w:bidi="ar-SA"/>
      </w:rPr>
    </w:lvl>
    <w:lvl w:ilvl="4" w:tplc="4C80392C">
      <w:numFmt w:val="bullet"/>
      <w:lvlText w:val="•"/>
      <w:lvlJc w:val="left"/>
      <w:pPr>
        <w:ind w:left="3808" w:hanging="209"/>
      </w:pPr>
      <w:rPr>
        <w:rFonts w:hint="default"/>
        <w:lang w:val="en-US" w:eastAsia="en-US" w:bidi="ar-SA"/>
      </w:rPr>
    </w:lvl>
    <w:lvl w:ilvl="5" w:tplc="CE9CDE72">
      <w:numFmt w:val="bullet"/>
      <w:lvlText w:val="•"/>
      <w:lvlJc w:val="left"/>
      <w:pPr>
        <w:ind w:left="4778" w:hanging="209"/>
      </w:pPr>
      <w:rPr>
        <w:rFonts w:hint="default"/>
        <w:lang w:val="en-US" w:eastAsia="en-US" w:bidi="ar-SA"/>
      </w:rPr>
    </w:lvl>
    <w:lvl w:ilvl="6" w:tplc="3D00A6AA">
      <w:numFmt w:val="bullet"/>
      <w:lvlText w:val="•"/>
      <w:lvlJc w:val="left"/>
      <w:pPr>
        <w:ind w:left="5748" w:hanging="209"/>
      </w:pPr>
      <w:rPr>
        <w:rFonts w:hint="default"/>
        <w:lang w:val="en-US" w:eastAsia="en-US" w:bidi="ar-SA"/>
      </w:rPr>
    </w:lvl>
    <w:lvl w:ilvl="7" w:tplc="6272441A">
      <w:numFmt w:val="bullet"/>
      <w:lvlText w:val="•"/>
      <w:lvlJc w:val="left"/>
      <w:pPr>
        <w:ind w:left="6717" w:hanging="209"/>
      </w:pPr>
      <w:rPr>
        <w:rFonts w:hint="default"/>
        <w:lang w:val="en-US" w:eastAsia="en-US" w:bidi="ar-SA"/>
      </w:rPr>
    </w:lvl>
    <w:lvl w:ilvl="8" w:tplc="16283E12">
      <w:numFmt w:val="bullet"/>
      <w:lvlText w:val="•"/>
      <w:lvlJc w:val="left"/>
      <w:pPr>
        <w:ind w:left="7687" w:hanging="209"/>
      </w:pPr>
      <w:rPr>
        <w:rFonts w:hint="default"/>
        <w:lang w:val="en-US" w:eastAsia="en-US" w:bidi="ar-SA"/>
      </w:rPr>
    </w:lvl>
  </w:abstractNum>
  <w:num w:numId="1" w16cid:durableId="145706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D"/>
    <w:rsid w:val="00105E07"/>
    <w:rsid w:val="00114D6C"/>
    <w:rsid w:val="001549C7"/>
    <w:rsid w:val="00515BC4"/>
    <w:rsid w:val="00627B83"/>
    <w:rsid w:val="00704D80"/>
    <w:rsid w:val="00710050"/>
    <w:rsid w:val="007636F2"/>
    <w:rsid w:val="007B5D13"/>
    <w:rsid w:val="00AF7AFB"/>
    <w:rsid w:val="00B45978"/>
    <w:rsid w:val="00C054CF"/>
    <w:rsid w:val="00C207D8"/>
    <w:rsid w:val="00CB1F05"/>
    <w:rsid w:val="00CD783B"/>
    <w:rsid w:val="00DB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E1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4" w:right="10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2" w:right="109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49C7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45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59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E0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5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0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05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3/Sep/ResponseNVSEPReport/Attachments/Respons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Sep/ResponseNVSEPReport/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3E970-D104-4FE5-B4F8-B76F782A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68172-E4AF-48E2-A6D9-27193579F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310</Words>
  <Characters>1840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2145</CharactersWithSpaces>
  <SharedDoc>false</SharedDoc>
  <HyperlinkBase>https://www.cabinet.qld.gov.au/documents/2023/Sep/ResponseNVSEPReport/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8</cp:revision>
  <dcterms:created xsi:type="dcterms:W3CDTF">2024-01-03T23:59:00Z</dcterms:created>
  <dcterms:modified xsi:type="dcterms:W3CDTF">2024-07-17T05:47:00Z</dcterms:modified>
  <cp:category>Environment,Land,Regulation,Vegetation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0x010100D086CBDD9A6C404C937DCD782971DB1D</vt:lpwstr>
  </property>
  <property fmtid="{D5CDD505-2E9C-101B-9397-08002B2CF9AE}" pid="3" name="Created">
    <vt:filetime>2023-08-30T00:00:00Z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2023-08-31T00:00:00Z</vt:filetime>
  </property>
  <property fmtid="{D5CDD505-2E9C-101B-9397-08002B2CF9AE}" pid="6" name="Producer">
    <vt:lpwstr>Adobe PDF Library 20.1.50</vt:lpwstr>
  </property>
  <property fmtid="{D5CDD505-2E9C-101B-9397-08002B2CF9AE}" pid="7" name="SourceModified">
    <vt:lpwstr>D:20230821025506</vt:lpwstr>
  </property>
</Properties>
</file>